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95F" w:rsidRDefault="00CF56DB" w:rsidP="00CF56DB">
      <w:pPr>
        <w:tabs>
          <w:tab w:val="left" w:pos="360"/>
          <w:tab w:val="left" w:pos="720"/>
        </w:tabs>
        <w:spacing w:before="808" w:line="229" w:lineRule="exact"/>
        <w:textAlignment w:val="baseline"/>
        <w:rPr>
          <w:rFonts w:ascii="Calibri" w:eastAsia="Calibri" w:hAnsi="Calibri"/>
          <w:b/>
          <w:color w:val="000000"/>
          <w:spacing w:val="-4"/>
          <w:sz w:val="23"/>
          <w:lang w:val="de-DE"/>
        </w:rPr>
      </w:pPr>
      <w:r>
        <w:rPr>
          <w:rFonts w:ascii="Calibri" w:eastAsia="Calibri" w:hAnsi="Calibri"/>
          <w:b/>
          <w:color w:val="000000"/>
          <w:spacing w:val="-4"/>
          <w:sz w:val="23"/>
          <w:lang w:val="de-DE"/>
        </w:rPr>
        <w:t>Titel des Projekts</w:t>
      </w:r>
    </w:p>
    <w:p w:rsidR="004A295F" w:rsidRPr="00CF56DB" w:rsidRDefault="00CF56DB" w:rsidP="00CF56DB">
      <w:pPr>
        <w:spacing w:before="78" w:line="229" w:lineRule="exact"/>
        <w:textAlignment w:val="baseline"/>
        <w:rPr>
          <w:rFonts w:ascii="Calibri" w:eastAsia="Calibri" w:hAnsi="Calibri"/>
          <w:color w:val="000000"/>
          <w:spacing w:val="-6"/>
          <w:sz w:val="23"/>
        </w:rPr>
      </w:pPr>
      <w:r w:rsidRPr="00CF56DB">
        <w:rPr>
          <w:rFonts w:ascii="Calibri" w:eastAsia="Calibri" w:hAnsi="Calibri"/>
          <w:color w:val="000000"/>
          <w:spacing w:val="-6"/>
          <w:sz w:val="23"/>
        </w:rPr>
        <w:t xml:space="preserve">Evaluation der One-Step Nucleic Acid Amplification (OSNA) </w:t>
      </w:r>
      <w:proofErr w:type="spellStart"/>
      <w:r w:rsidRPr="00CF56DB">
        <w:rPr>
          <w:rFonts w:ascii="Calibri" w:eastAsia="Calibri" w:hAnsi="Calibri"/>
          <w:color w:val="000000"/>
          <w:spacing w:val="-6"/>
          <w:sz w:val="23"/>
        </w:rPr>
        <w:t>zur</w:t>
      </w:r>
      <w:proofErr w:type="spellEnd"/>
      <w:r w:rsidRPr="00CF56DB">
        <w:rPr>
          <w:rFonts w:ascii="Calibri" w:eastAsia="Calibri" w:hAnsi="Calibri"/>
          <w:color w:val="000000"/>
          <w:spacing w:val="-6"/>
          <w:sz w:val="23"/>
        </w:rPr>
        <w:t xml:space="preserve"> </w:t>
      </w:r>
      <w:proofErr w:type="spellStart"/>
      <w:r w:rsidRPr="00CF56DB">
        <w:rPr>
          <w:rFonts w:ascii="Calibri" w:eastAsia="Calibri" w:hAnsi="Calibri"/>
          <w:color w:val="000000"/>
          <w:spacing w:val="-6"/>
          <w:sz w:val="23"/>
        </w:rPr>
        <w:t>Detektion</w:t>
      </w:r>
      <w:proofErr w:type="spellEnd"/>
      <w:r w:rsidRPr="00CF56DB">
        <w:rPr>
          <w:rFonts w:ascii="Calibri" w:eastAsia="Calibri" w:hAnsi="Calibri"/>
          <w:color w:val="000000"/>
          <w:spacing w:val="-6"/>
          <w:sz w:val="23"/>
        </w:rPr>
        <w:t xml:space="preserve"> von</w:t>
      </w:r>
    </w:p>
    <w:p w:rsidR="004A295F" w:rsidRDefault="00CF56DB" w:rsidP="00CF56DB">
      <w:pPr>
        <w:spacing w:before="78" w:line="230" w:lineRule="exact"/>
        <w:textAlignment w:val="baseline"/>
        <w:rPr>
          <w:rFonts w:ascii="Calibri" w:eastAsia="Calibri" w:hAnsi="Calibri"/>
          <w:color w:val="000000"/>
          <w:spacing w:val="-4"/>
          <w:sz w:val="23"/>
          <w:lang w:val="de-DE"/>
        </w:rPr>
      </w:pPr>
      <w:r>
        <w:rPr>
          <w:rFonts w:ascii="Calibri" w:eastAsia="Calibri" w:hAnsi="Calibri"/>
          <w:color w:val="000000"/>
          <w:spacing w:val="-4"/>
          <w:sz w:val="23"/>
          <w:lang w:val="de-DE"/>
        </w:rPr>
        <w:t>Lymphknotenmetastasen beim Blasen- und Peniskarzinom</w:t>
      </w:r>
    </w:p>
    <w:p w:rsidR="00CF56DB" w:rsidRDefault="00CF56DB" w:rsidP="00CF56DB">
      <w:pPr>
        <w:tabs>
          <w:tab w:val="left" w:pos="360"/>
          <w:tab w:val="left" w:pos="720"/>
        </w:tabs>
        <w:spacing w:before="190" w:after="53" w:line="229" w:lineRule="exact"/>
        <w:textAlignment w:val="baseline"/>
        <w:rPr>
          <w:rFonts w:ascii="Calibri" w:eastAsia="Calibri" w:hAnsi="Calibri"/>
          <w:b/>
          <w:color w:val="000000"/>
          <w:spacing w:val="-4"/>
          <w:sz w:val="23"/>
          <w:lang w:val="de-DE"/>
        </w:rPr>
      </w:pPr>
    </w:p>
    <w:p w:rsidR="00CF56DB" w:rsidRDefault="00CF56DB" w:rsidP="00CF56DB">
      <w:pPr>
        <w:tabs>
          <w:tab w:val="left" w:pos="360"/>
          <w:tab w:val="left" w:pos="720"/>
        </w:tabs>
        <w:spacing w:before="190" w:after="53" w:line="229" w:lineRule="exact"/>
        <w:textAlignment w:val="baseline"/>
        <w:rPr>
          <w:rFonts w:ascii="Calibri" w:eastAsia="Calibri" w:hAnsi="Calibri"/>
          <w:b/>
          <w:color w:val="000000"/>
          <w:spacing w:val="-4"/>
          <w:sz w:val="23"/>
          <w:lang w:val="de-DE"/>
        </w:rPr>
      </w:pPr>
      <w:r>
        <w:rPr>
          <w:rFonts w:ascii="Calibri" w:eastAsia="Calibri" w:hAnsi="Calibri"/>
          <w:b/>
          <w:color w:val="000000"/>
          <w:spacing w:val="-4"/>
          <w:sz w:val="23"/>
          <w:lang w:val="de-DE"/>
        </w:rPr>
        <w:t xml:space="preserve">Antragstellende(r): </w:t>
      </w:r>
      <w:r w:rsidRPr="00CF56DB">
        <w:rPr>
          <w:rFonts w:ascii="Calibri" w:eastAsia="Calibri" w:hAnsi="Calibri"/>
          <w:color w:val="000000"/>
          <w:spacing w:val="-4"/>
          <w:sz w:val="23"/>
          <w:lang w:val="de-DE"/>
        </w:rPr>
        <w:t>Alexander Winter, Svenja Engels</w:t>
      </w:r>
    </w:p>
    <w:p w:rsidR="00CF56DB" w:rsidRDefault="00CF56DB" w:rsidP="00CF56DB">
      <w:pPr>
        <w:tabs>
          <w:tab w:val="left" w:pos="360"/>
          <w:tab w:val="left" w:pos="720"/>
        </w:tabs>
        <w:spacing w:before="190" w:after="53" w:line="229" w:lineRule="exact"/>
        <w:textAlignment w:val="baseline"/>
        <w:rPr>
          <w:rFonts w:ascii="Calibri" w:eastAsia="Calibri" w:hAnsi="Calibri"/>
          <w:b/>
          <w:color w:val="000000"/>
          <w:sz w:val="23"/>
          <w:lang w:val="de-DE"/>
        </w:rPr>
      </w:pPr>
    </w:p>
    <w:p w:rsidR="004A295F" w:rsidRPr="00CF56DB" w:rsidRDefault="00CF56DB" w:rsidP="00CF56DB">
      <w:pPr>
        <w:tabs>
          <w:tab w:val="left" w:pos="360"/>
          <w:tab w:val="left" w:pos="720"/>
        </w:tabs>
        <w:spacing w:before="190" w:after="53" w:line="229" w:lineRule="exact"/>
        <w:textAlignment w:val="baseline"/>
        <w:rPr>
          <w:rFonts w:ascii="Calibri" w:eastAsia="Calibri" w:hAnsi="Calibri"/>
          <w:b/>
          <w:color w:val="000000"/>
          <w:spacing w:val="-4"/>
          <w:sz w:val="23"/>
          <w:lang w:val="de-DE"/>
        </w:rPr>
      </w:pPr>
      <w:bookmarkStart w:id="0" w:name="_GoBack"/>
      <w:bookmarkEnd w:id="0"/>
      <w:r>
        <w:rPr>
          <w:rFonts w:ascii="Calibri" w:eastAsia="Calibri" w:hAnsi="Calibri"/>
          <w:b/>
          <w:color w:val="000000"/>
          <w:sz w:val="23"/>
          <w:lang w:val="de-DE"/>
        </w:rPr>
        <w:t>Zusammenfassung des Projektes:</w:t>
      </w:r>
    </w:p>
    <w:p w:rsidR="004A295F" w:rsidRDefault="00CF56DB">
      <w:pPr>
        <w:spacing w:line="307" w:lineRule="exact"/>
        <w:jc w:val="both"/>
        <w:textAlignment w:val="baseline"/>
        <w:rPr>
          <w:rFonts w:ascii="Calibri" w:eastAsia="Calibri" w:hAnsi="Calibri"/>
          <w:color w:val="000000"/>
          <w:spacing w:val="-4"/>
          <w:sz w:val="23"/>
          <w:lang w:val="de-DE"/>
        </w:rPr>
      </w:pPr>
      <w:r>
        <w:rPr>
          <w:rFonts w:ascii="Calibri" w:eastAsia="Calibri" w:hAnsi="Calibri"/>
          <w:color w:val="000000"/>
          <w:spacing w:val="-4"/>
          <w:sz w:val="23"/>
          <w:lang w:val="de-DE"/>
        </w:rPr>
        <w:t>Beim Blasen- und Peniskarzinom (Blasen-/Penis-Ca) erfolgt die Aufarbeitung der Lymphknoten (LK) derzeit wenig standardisiert und intensiv, was zum Übersehen kleinerer Metastasen führen kann. Molekulare Untersuchungstechniken werden bish</w:t>
      </w:r>
      <w:r>
        <w:rPr>
          <w:rFonts w:ascii="Calibri" w:eastAsia="Calibri" w:hAnsi="Calibri"/>
          <w:color w:val="000000"/>
          <w:spacing w:val="-4"/>
          <w:sz w:val="23"/>
          <w:lang w:val="de-DE"/>
        </w:rPr>
        <w:t xml:space="preserve">er nur bei wissenschaftlichen Fragestellungen eingesetzt. In Studien konnte </w:t>
      </w:r>
      <w:proofErr w:type="spellStart"/>
      <w:r>
        <w:rPr>
          <w:rFonts w:ascii="Calibri" w:eastAsia="Calibri" w:hAnsi="Calibri"/>
          <w:color w:val="000000"/>
          <w:spacing w:val="-4"/>
          <w:sz w:val="23"/>
          <w:lang w:val="de-DE"/>
        </w:rPr>
        <w:t>mRNA</w:t>
      </w:r>
      <w:proofErr w:type="spellEnd"/>
      <w:r>
        <w:rPr>
          <w:rFonts w:ascii="Calibri" w:eastAsia="Calibri" w:hAnsi="Calibri"/>
          <w:color w:val="000000"/>
          <w:spacing w:val="-4"/>
          <w:sz w:val="23"/>
          <w:lang w:val="de-DE"/>
        </w:rPr>
        <w:t xml:space="preserve"> des Epithelzellmarkers </w:t>
      </w:r>
      <w:proofErr w:type="spellStart"/>
      <w:r>
        <w:rPr>
          <w:rFonts w:ascii="Calibri" w:eastAsia="Calibri" w:hAnsi="Calibri"/>
          <w:color w:val="000000"/>
          <w:spacing w:val="-4"/>
          <w:sz w:val="23"/>
          <w:lang w:val="de-DE"/>
        </w:rPr>
        <w:t>Cytokeratin</w:t>
      </w:r>
      <w:proofErr w:type="spellEnd"/>
      <w:r>
        <w:rPr>
          <w:rFonts w:ascii="Calibri" w:eastAsia="Calibri" w:hAnsi="Calibri"/>
          <w:color w:val="000000"/>
          <w:spacing w:val="-4"/>
          <w:sz w:val="23"/>
          <w:lang w:val="de-DE"/>
        </w:rPr>
        <w:t xml:space="preserve"> 19 (CK19) beim Blasen-Ca in Primärgewebe sowie LK-Metastasen mittels RT-PCR nachgewiesen werden. Da CK19 normalerweise nicht in LK-Gewebe vo</w:t>
      </w:r>
      <w:r>
        <w:rPr>
          <w:rFonts w:ascii="Calibri" w:eastAsia="Calibri" w:hAnsi="Calibri"/>
          <w:color w:val="000000"/>
          <w:spacing w:val="-4"/>
          <w:sz w:val="23"/>
          <w:lang w:val="de-DE"/>
        </w:rPr>
        <w:t xml:space="preserve">rkommt, stellt ein Nachweis dort ein Surrogat für einen </w:t>
      </w:r>
      <w:proofErr w:type="spellStart"/>
      <w:r>
        <w:rPr>
          <w:rFonts w:ascii="Calibri" w:eastAsia="Calibri" w:hAnsi="Calibri"/>
          <w:color w:val="000000"/>
          <w:spacing w:val="-4"/>
          <w:sz w:val="23"/>
          <w:lang w:val="de-DE"/>
        </w:rPr>
        <w:t>Metastasenbefall</w:t>
      </w:r>
      <w:proofErr w:type="spellEnd"/>
      <w:r>
        <w:rPr>
          <w:rFonts w:ascii="Calibri" w:eastAsia="Calibri" w:hAnsi="Calibri"/>
          <w:color w:val="000000"/>
          <w:spacing w:val="-4"/>
          <w:sz w:val="23"/>
          <w:lang w:val="de-DE"/>
        </w:rPr>
        <w:t xml:space="preserve"> dar. Bei Blasen- und Penis-Cas mit LK-Metastasen wurde CK19 zudem in Blutproben nachgewiesen.</w:t>
      </w:r>
    </w:p>
    <w:p w:rsidR="004A295F" w:rsidRDefault="00CF56DB" w:rsidP="00CF56DB">
      <w:pPr>
        <w:spacing w:before="128" w:line="308" w:lineRule="exact"/>
        <w:jc w:val="both"/>
        <w:textAlignment w:val="baseline"/>
        <w:rPr>
          <w:rFonts w:ascii="Calibri" w:eastAsia="Calibri" w:hAnsi="Calibri"/>
          <w:color w:val="000000"/>
          <w:lang w:val="de-DE"/>
        </w:rPr>
      </w:pPr>
      <w:r>
        <w:rPr>
          <w:rFonts w:ascii="Calibri" w:eastAsia="Calibri" w:hAnsi="Calibri"/>
          <w:color w:val="000000"/>
          <w:spacing w:val="-5"/>
          <w:sz w:val="23"/>
          <w:lang w:val="de-DE"/>
        </w:rPr>
        <w:t xml:space="preserve">In diesem zweistufigen Projekt soll erstmals überprüft werden, ob CK19 </w:t>
      </w:r>
      <w:proofErr w:type="spellStart"/>
      <w:r>
        <w:rPr>
          <w:rFonts w:ascii="Calibri" w:eastAsia="Calibri" w:hAnsi="Calibri"/>
          <w:color w:val="000000"/>
          <w:spacing w:val="-5"/>
          <w:sz w:val="23"/>
          <w:lang w:val="de-DE"/>
        </w:rPr>
        <w:t>mRNA</w:t>
      </w:r>
      <w:proofErr w:type="spellEnd"/>
      <w:r>
        <w:rPr>
          <w:rFonts w:ascii="Calibri" w:eastAsia="Calibri" w:hAnsi="Calibri"/>
          <w:color w:val="000000"/>
          <w:spacing w:val="-5"/>
          <w:sz w:val="23"/>
          <w:lang w:val="de-DE"/>
        </w:rPr>
        <w:t xml:space="preserve"> beim Blasen- </w:t>
      </w:r>
      <w:r>
        <w:rPr>
          <w:rFonts w:ascii="Calibri" w:eastAsia="Calibri" w:hAnsi="Calibri"/>
          <w:color w:val="000000"/>
          <w:spacing w:val="-5"/>
          <w:sz w:val="23"/>
          <w:lang w:val="de-DE"/>
        </w:rPr>
        <w:t xml:space="preserve">und Penis-Ca im primären Tumorgewebe mittels </w:t>
      </w:r>
      <w:proofErr w:type="spellStart"/>
      <w:r>
        <w:rPr>
          <w:rFonts w:ascii="Calibri" w:eastAsia="Calibri" w:hAnsi="Calibri"/>
          <w:color w:val="000000"/>
          <w:spacing w:val="-5"/>
          <w:sz w:val="23"/>
          <w:lang w:val="de-DE"/>
        </w:rPr>
        <w:t>One-Step</w:t>
      </w:r>
      <w:proofErr w:type="spellEnd"/>
      <w:r>
        <w:rPr>
          <w:rFonts w:ascii="Calibri" w:eastAsia="Calibri" w:hAnsi="Calibri"/>
          <w:color w:val="000000"/>
          <w:spacing w:val="-5"/>
          <w:sz w:val="23"/>
          <w:lang w:val="de-DE"/>
        </w:rPr>
        <w:t xml:space="preserve"> </w:t>
      </w:r>
      <w:proofErr w:type="spellStart"/>
      <w:r>
        <w:rPr>
          <w:rFonts w:ascii="Calibri" w:eastAsia="Calibri" w:hAnsi="Calibri"/>
          <w:color w:val="000000"/>
          <w:spacing w:val="-5"/>
          <w:sz w:val="23"/>
          <w:lang w:val="de-DE"/>
        </w:rPr>
        <w:t>Nucleic</w:t>
      </w:r>
      <w:proofErr w:type="spellEnd"/>
      <w:r>
        <w:rPr>
          <w:rFonts w:ascii="Calibri" w:eastAsia="Calibri" w:hAnsi="Calibri"/>
          <w:color w:val="000000"/>
          <w:spacing w:val="-5"/>
          <w:sz w:val="23"/>
          <w:lang w:val="de-DE"/>
        </w:rPr>
        <w:t xml:space="preserve"> Acid </w:t>
      </w:r>
      <w:proofErr w:type="spellStart"/>
      <w:r>
        <w:rPr>
          <w:rFonts w:ascii="Calibri" w:eastAsia="Calibri" w:hAnsi="Calibri"/>
          <w:color w:val="000000"/>
          <w:spacing w:val="-5"/>
          <w:sz w:val="23"/>
          <w:lang w:val="de-DE"/>
        </w:rPr>
        <w:t>Amplification</w:t>
      </w:r>
      <w:proofErr w:type="spellEnd"/>
      <w:r>
        <w:rPr>
          <w:rFonts w:ascii="Calibri" w:eastAsia="Calibri" w:hAnsi="Calibri"/>
          <w:color w:val="000000"/>
          <w:spacing w:val="-5"/>
          <w:sz w:val="23"/>
          <w:lang w:val="de-DE"/>
        </w:rPr>
        <w:t xml:space="preserve"> (OSNA), wie von uns bereits für das Prostatakarzinom (</w:t>
      </w:r>
      <w:proofErr w:type="spellStart"/>
      <w:r>
        <w:rPr>
          <w:rFonts w:ascii="Calibri" w:eastAsia="Calibri" w:hAnsi="Calibri"/>
          <w:color w:val="000000"/>
          <w:spacing w:val="-5"/>
          <w:sz w:val="23"/>
          <w:lang w:val="de-DE"/>
        </w:rPr>
        <w:t>PCa</w:t>
      </w:r>
      <w:proofErr w:type="spellEnd"/>
      <w:r>
        <w:rPr>
          <w:rFonts w:ascii="Calibri" w:eastAsia="Calibri" w:hAnsi="Calibri"/>
          <w:color w:val="000000"/>
          <w:spacing w:val="-5"/>
          <w:sz w:val="23"/>
          <w:lang w:val="de-DE"/>
        </w:rPr>
        <w:t>) gezeigt, detektiert werden kann. Dazu werden Gewebeproben von insgesamt 20 Blasen- und fünf Penis-Ca Patienten an de</w:t>
      </w:r>
      <w:r>
        <w:rPr>
          <w:rFonts w:ascii="Calibri" w:eastAsia="Calibri" w:hAnsi="Calibri"/>
          <w:color w:val="000000"/>
          <w:spacing w:val="-5"/>
          <w:sz w:val="23"/>
          <w:lang w:val="de-DE"/>
        </w:rPr>
        <w:t>r Universitätsklinik für Urologie mittels OSNA sowie histopathologisch und immunhistochemisch untersucht. Bei positivem CK19-Nachweis sollen in der zweiten Phase die LK von 60 bzw. 6 Patienten sowohl mittels OSNA als auch histopathologisch und immunhistoch</w:t>
      </w:r>
      <w:r>
        <w:rPr>
          <w:rFonts w:ascii="Calibri" w:eastAsia="Calibri" w:hAnsi="Calibri"/>
          <w:color w:val="000000"/>
          <w:spacing w:val="-5"/>
          <w:sz w:val="23"/>
          <w:lang w:val="de-DE"/>
        </w:rPr>
        <w:t xml:space="preserve">emisch auf Metastasen untersucht werden. Die Ergebnisse der Untersuchungsmethoden werden dann bezüglich ihrer Spezifität, Sensitivität und Konkordanz verglichen. Ist das OSNA-Verfahren der histopathologischen Untersuchung nicht unterlegen, könnte das </w:t>
      </w:r>
      <w:r>
        <w:rPr>
          <w:rFonts w:ascii="Calibri" w:eastAsia="Calibri" w:hAnsi="Calibri"/>
          <w:color w:val="000000"/>
          <w:lang w:val="de-DE"/>
        </w:rPr>
        <w:t>die Grundlage für einen automatisierten und erstmals standardisierten Nachweis von LK-Metastasen bei diesen Tumorentitäten darstellen. Da die OSNA-Ergebnisse bereits intraoperativ vorliegen, könnte beim Penis-Ca zudem bei Befall von Sentinel-LK (SLNs) die LK-Entfernung weiter ausgedehnt und somit ein zweiter Eingriff vermieden werden. Beim Blasen-Ca könnte zunächst eine begrenzte und bei positiven LK eine erweiterte LK-Entfernung erfolgen und so Übertherapie reduziert werden.</w:t>
      </w:r>
    </w:p>
    <w:p w:rsidR="004A295F" w:rsidRPr="00CF56DB" w:rsidRDefault="004A295F" w:rsidP="00CF56DB">
      <w:pPr>
        <w:tabs>
          <w:tab w:val="left" w:pos="432"/>
        </w:tabs>
        <w:spacing w:before="2" w:line="243" w:lineRule="exact"/>
        <w:ind w:left="432"/>
        <w:jc w:val="both"/>
        <w:textAlignment w:val="baseline"/>
        <w:rPr>
          <w:rFonts w:ascii="Calibri" w:eastAsia="Calibri" w:hAnsi="Calibri"/>
          <w:color w:val="000000"/>
          <w:sz w:val="20"/>
        </w:rPr>
      </w:pPr>
    </w:p>
    <w:sectPr w:rsidR="004A295F" w:rsidRPr="00CF56DB">
      <w:pgSz w:w="11909" w:h="16838"/>
      <w:pgMar w:top="680" w:right="1409" w:bottom="822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6B1F"/>
    <w:multiLevelType w:val="multilevel"/>
    <w:tmpl w:val="8EE6B6FC"/>
    <w:lvl w:ilvl="0">
      <w:start w:val="4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F11556"/>
    <w:multiLevelType w:val="multilevel"/>
    <w:tmpl w:val="6D4A1E96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B514D7"/>
    <w:multiLevelType w:val="multilevel"/>
    <w:tmpl w:val="82EC32F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000000"/>
        <w:spacing w:val="-4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C22010"/>
    <w:multiLevelType w:val="multilevel"/>
    <w:tmpl w:val="590A3390"/>
    <w:lvl w:ilvl="0">
      <w:start w:val="6"/>
      <w:numFmt w:val="decimal"/>
      <w:lvlText w:val="%1."/>
      <w:lvlJc w:val="left"/>
      <w:pPr>
        <w:tabs>
          <w:tab w:val="left" w:pos="720"/>
        </w:tabs>
      </w:pPr>
      <w:rPr>
        <w:rFonts w:ascii="Calibri" w:eastAsia="Calibri" w:hAnsi="Calibri"/>
        <w:b/>
        <w:color w:val="000000"/>
        <w:spacing w:val="-1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295F"/>
    <w:rsid w:val="004A295F"/>
    <w:rsid w:val="00C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975FF43"/>
  <w15:docId w15:val="{02CB4B72-FAC5-4B21-945D-4BF2A00B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rer. nat. Beena Punnamoottil</cp:lastModifiedBy>
  <cp:revision>2</cp:revision>
  <dcterms:created xsi:type="dcterms:W3CDTF">2021-01-13T12:08:00Z</dcterms:created>
  <dcterms:modified xsi:type="dcterms:W3CDTF">2021-01-13T12:10:00Z</dcterms:modified>
</cp:coreProperties>
</file>