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0C" w:rsidRP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Differences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PRG3 and PRG5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folding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transportation</w:t>
      </w:r>
      <w:proofErr w:type="spellEnd"/>
    </w:p>
    <w:p w:rsidR="00CF5E0C" w:rsidRP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CF5E0C" w:rsidRP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CF5E0C" w:rsidRP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Cells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rely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ability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target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specific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cellular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locations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therefore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possess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 extensive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sorting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quality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control</w:t>
      </w:r>
      <w:proofErr w:type="spellEnd"/>
    </w:p>
    <w:p w:rsidR="00CF5E0C" w:rsidRP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machinery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that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directs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functional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correct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cellular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compartment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retains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degrades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defective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(Vincenz-Donnelly &amp; Hipp,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2017). Most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directed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plasma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membrane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are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first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targeted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endoplasmic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reticulum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only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once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folded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travel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Golgi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apparatus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plasma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membrane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 A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dysfunction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these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processes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can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lead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reduced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levels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functional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Cystic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Fibrosis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accumulation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intra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extracellular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aggregates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that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hallmark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many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neurodegenerative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diseases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(Hipp et al.,2019).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A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new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class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transmembrane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named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Plasticity-related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genes (PRGs),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have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important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functions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neuronal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differentiation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aging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, and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de-/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regeneration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(Bräuer et al.,2003,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Strauss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Bräuer, 2013).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particular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we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are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interested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identifying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machinery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involved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transport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sorting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PRG3 and PRG5.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Although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their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sequence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closely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related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promote different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morphological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changes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neurons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. PRG3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promotes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formation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neurites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primary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neurons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Verlmans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et al.,2013),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whereas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PRG5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contributes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spine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induction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immature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neurons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regulation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spine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density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morphology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mature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neurons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(Coiro et al., 2014).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Our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studies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have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shown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that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for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PRG3 and PRG5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plasmamembrane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localisation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important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induce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morphology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changes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Interestingly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these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do not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contain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classical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ER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signaling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sequences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and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both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exhibit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short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intracellular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N- and C-termini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with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less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than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50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amino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acids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The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aim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our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basic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and translational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research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project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identify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machinery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involved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in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sorting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PRG3 and PRG5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plasma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membrane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well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as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characterization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of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quality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control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machinery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that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interacts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with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these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proteins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en route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to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the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plasma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membrane</w:t>
      </w:r>
      <w:proofErr w:type="spellEnd"/>
      <w:r w:rsidRPr="00CF5E0C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1. Brauer AU,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Savaskan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NE, Kuhn H,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Prehn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S,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Ninnemann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O, Nitsch R: A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new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phospholipid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phosphatase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, PRG-1,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is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involved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axon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growth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and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regenerative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sprouting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. Nat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Neurosci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2003, 6(6):572-578.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2. Coiro P,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Stoenica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L,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Strauss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U, Brauer AU: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Plasticity-related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gene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5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promotes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spine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formation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in murine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hippocampal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neurons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. J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Biol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Chem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2014,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289(36):24956-24970.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3. Hipp MS,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Kasturi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P, Hartl FU: The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proteostasis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network and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its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decline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ageing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. Nat Rev Mol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Cell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Biol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2019, 20(7):421-435.</w:t>
      </w:r>
      <w:bookmarkStart w:id="0" w:name="_GoBack"/>
      <w:bookmarkEnd w:id="0"/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4.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Strauss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U, Brauer AU: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Current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views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on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regulation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function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of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plasticity-related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genes (PRGs/LPPRs) in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the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brain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Biochim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Biophys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Acta 2013,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1831(1):133-138.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5.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Velmans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T,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Battefeld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A, Geist B,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Farres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AS,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Strauss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U, Brauer AU: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Plasticity-related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gene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3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promotes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neurite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shaft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protrusion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. BMC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Neurosci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2013,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14:36.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6. Vincenz-Donnelly L, Hipp MS: The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endoplasmic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reticulum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: A hub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of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protein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quality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control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health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and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disease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. Free Radic </w:t>
      </w:r>
      <w:proofErr w:type="spellStart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Biol</w:t>
      </w:r>
      <w:proofErr w:type="spellEnd"/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 xml:space="preserve"> Med. 2017</w:t>
      </w:r>
    </w:p>
    <w:p w:rsidR="00CF5E0C" w:rsidRDefault="00CF5E0C" w:rsidP="00CF5E0C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</w:pPr>
      <w:r>
        <w:rPr>
          <w:rFonts w:ascii="Helvetica" w:eastAsia="Times New Roman" w:hAnsi="Helvetica" w:cs="Helvetica"/>
          <w:color w:val="000000"/>
          <w:sz w:val="15"/>
          <w:szCs w:val="24"/>
          <w:lang w:val="x-none"/>
        </w:rPr>
        <w:t>Jul;108:383-393.</w:t>
      </w:r>
    </w:p>
    <w:p w:rsidR="00B3621B" w:rsidRPr="00CF5E0C" w:rsidRDefault="00B3621B">
      <w:pPr>
        <w:rPr>
          <w:b/>
          <w:lang w:val="x-none"/>
        </w:rPr>
      </w:pPr>
    </w:p>
    <w:sectPr w:rsidR="00B3621B" w:rsidRPr="00CF5E0C" w:rsidSect="001F7CE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C"/>
    <w:rsid w:val="00B3621B"/>
    <w:rsid w:val="00C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A32F"/>
  <w15:chartTrackingRefBased/>
  <w15:docId w15:val="{0CB717AC-BB45-4BDF-8C7C-780055B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Anja Bräuer</dc:creator>
  <cp:keywords/>
  <dc:description/>
  <cp:lastModifiedBy>Prof. Dr. Anja Bräuer</cp:lastModifiedBy>
  <cp:revision>1</cp:revision>
  <dcterms:created xsi:type="dcterms:W3CDTF">2021-11-02T15:32:00Z</dcterms:created>
  <dcterms:modified xsi:type="dcterms:W3CDTF">2021-11-02T15:35:00Z</dcterms:modified>
</cp:coreProperties>
</file>